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448"/>
      </w:tblGrid>
      <w:tr w:rsidR="005438A0" w14:paraId="66AF3361" w14:textId="77777777">
        <w:trPr>
          <w:trHeight w:val="1199"/>
        </w:trPr>
        <w:tc>
          <w:tcPr>
            <w:tcW w:w="9293" w:type="dxa"/>
            <w:gridSpan w:val="2"/>
          </w:tcPr>
          <w:p w14:paraId="027A5A30" w14:textId="0739B72B" w:rsidR="00467CEC" w:rsidRDefault="00000000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pacing w:val="-6"/>
                <w:sz w:val="20"/>
              </w:rPr>
            </w:pPr>
            <w:r>
              <w:rPr>
                <w:rFonts w:ascii="Tahoma" w:hAns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1A485858" wp14:editId="6471DC91">
                      <wp:simplePos x="0" y="0"/>
                      <wp:positionH relativeFrom="column">
                        <wp:posOffset>1281388</wp:posOffset>
                      </wp:positionH>
                      <wp:positionV relativeFrom="paragraph">
                        <wp:posOffset>114840</wp:posOffset>
                      </wp:positionV>
                      <wp:extent cx="87630" cy="685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68580"/>
                                <a:chOff x="0" y="0"/>
                                <a:chExt cx="87630" cy="685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763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68580">
                                      <a:moveTo>
                                        <a:pt x="45358" y="0"/>
                                      </a:moveTo>
                                      <a:lnTo>
                                        <a:pt x="41546" y="0"/>
                                      </a:lnTo>
                                      <a:lnTo>
                                        <a:pt x="41344" y="37069"/>
                                      </a:lnTo>
                                      <a:lnTo>
                                        <a:pt x="35638" y="53778"/>
                                      </a:lnTo>
                                      <a:lnTo>
                                        <a:pt x="25359" y="61886"/>
                                      </a:lnTo>
                                      <a:lnTo>
                                        <a:pt x="11435" y="64008"/>
                                      </a:lnTo>
                                      <a:lnTo>
                                        <a:pt x="3811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87285" y="68580"/>
                                      </a:lnTo>
                                      <a:lnTo>
                                        <a:pt x="87285" y="64008"/>
                                      </a:lnTo>
                                      <a:lnTo>
                                        <a:pt x="83474" y="64008"/>
                                      </a:lnTo>
                                      <a:lnTo>
                                        <a:pt x="63261" y="61886"/>
                                      </a:lnTo>
                                      <a:lnTo>
                                        <a:pt x="50980" y="53778"/>
                                      </a:lnTo>
                                      <a:lnTo>
                                        <a:pt x="45417" y="37069"/>
                                      </a:lnTo>
                                      <a:lnTo>
                                        <a:pt x="45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29EFA" id="Group 1" o:spid="_x0000_s1026" style="position:absolute;margin-left:100.9pt;margin-top:9.05pt;width:6.9pt;height:5.4pt;z-index:15728640;mso-wrap-distance-left:0;mso-wrap-distance-right:0" coordsize="8763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">
                      <v:shape id="Graphic 2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" path="m45358,l41546,r-202,37069l35638,53778,25359,61886,11435,64008r-7624,l,64008r,4572l87285,68580r,-4572l83474,64008,63261,61886,50980,53778,45417,37069,45358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upra</w:t>
            </w:r>
            <w:r w:rsidR="00517B1F">
              <w:rPr>
                <w:rFonts w:ascii="Tahoma" w:hAnsi="Tahoma"/>
                <w:sz w:val="20"/>
              </w:rPr>
              <w:t>vljanja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 w:rsidR="00467CEC">
              <w:rPr>
                <w:rFonts w:ascii="Tahoma" w:hAnsi="Tahoma"/>
                <w:spacing w:val="-4"/>
                <w:sz w:val="20"/>
              </w:rPr>
              <w:t xml:space="preserve">integriranom turističkom </w:t>
            </w:r>
            <w:r>
              <w:rPr>
                <w:rFonts w:ascii="Tahoma" w:hAnsi="Tahoma"/>
                <w:sz w:val="20"/>
              </w:rPr>
              <w:t>destinacijom</w:t>
            </w:r>
            <w:r w:rsidR="00467CEC">
              <w:rPr>
                <w:rFonts w:ascii="Tahoma" w:hAnsi="Tahoma"/>
                <w:spacing w:val="-6"/>
                <w:sz w:val="20"/>
              </w:rPr>
              <w:t xml:space="preserve"> Općina Preko, Kali, Kukljica i </w:t>
            </w:r>
            <w:proofErr w:type="spellStart"/>
            <w:r w:rsidR="00467CEC">
              <w:rPr>
                <w:rFonts w:ascii="Tahoma" w:hAnsi="Tahoma"/>
                <w:spacing w:val="-6"/>
                <w:sz w:val="20"/>
              </w:rPr>
              <w:t>Tkon</w:t>
            </w:r>
            <w:proofErr w:type="spellEnd"/>
          </w:p>
          <w:p w14:paraId="3CC337F4" w14:textId="63F7E774" w:rsidR="005438A0" w:rsidRDefault="00000000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2026.-20</w:t>
            </w:r>
            <w:r w:rsidR="00E87830"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z w:val="20"/>
              </w:rPr>
              <w:t>.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izračun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prihvatnog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kapaciteta</w:t>
            </w:r>
          </w:p>
          <w:p w14:paraId="28465931" w14:textId="77777777" w:rsidR="005438A0" w:rsidRDefault="005438A0">
            <w:pPr>
              <w:pStyle w:val="TableParagraph"/>
              <w:spacing w:before="176"/>
              <w:rPr>
                <w:rFonts w:ascii="Times New Roman"/>
                <w:sz w:val="20"/>
              </w:rPr>
            </w:pPr>
          </w:p>
          <w:p w14:paraId="2DD88691" w14:textId="4C34AB09" w:rsidR="005438A0" w:rsidRDefault="00000000">
            <w:pPr>
              <w:pStyle w:val="TableParagraph"/>
              <w:spacing w:before="1"/>
              <w:ind w:left="1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POZIV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JAVNOSTI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ZA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DOSTAVU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MIŠLJENJA,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PRIMJEDBI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I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PRIJEDLOGA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PUTEM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 xml:space="preserve">INTERNETSKOG </w:t>
            </w:r>
            <w:r>
              <w:rPr>
                <w:rFonts w:ascii="Tahoma" w:hAnsi="Tahoma"/>
                <w:sz w:val="20"/>
              </w:rPr>
              <w:t>SAVJETOVANJA S JAVNOŠĆU</w:t>
            </w:r>
          </w:p>
        </w:tc>
      </w:tr>
      <w:tr w:rsidR="005438A0" w14:paraId="16652A2A" w14:textId="77777777">
        <w:trPr>
          <w:trHeight w:val="7061"/>
        </w:trPr>
        <w:tc>
          <w:tcPr>
            <w:tcW w:w="2845" w:type="dxa"/>
          </w:tcPr>
          <w:p w14:paraId="6A52EDBF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0A77AC9B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2C255F39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0C2C7ED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B7CAE1B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93027F0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0778EBC5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44F9A647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86CD719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4284A3BD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758A5256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5685B4C9" w14:textId="77777777" w:rsidR="005438A0" w:rsidRDefault="005438A0">
            <w:pPr>
              <w:pStyle w:val="TableParagraph"/>
              <w:spacing w:before="103"/>
              <w:rPr>
                <w:rFonts w:ascii="Times New Roman"/>
              </w:rPr>
            </w:pPr>
          </w:p>
          <w:p w14:paraId="6275737C" w14:textId="77777777" w:rsidR="005438A0" w:rsidRDefault="00000000">
            <w:pPr>
              <w:pStyle w:val="TableParagraph"/>
              <w:spacing w:before="1" w:line="280" w:lineRule="auto"/>
              <w:ind w:left="1149" w:hanging="876"/>
            </w:pPr>
            <w:r>
              <w:rPr>
                <w:spacing w:val="-4"/>
              </w:rPr>
              <w:t>RAZLOZI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DONOŠENJA AKTA</w:t>
            </w:r>
          </w:p>
        </w:tc>
        <w:tc>
          <w:tcPr>
            <w:tcW w:w="6448" w:type="dxa"/>
          </w:tcPr>
          <w:p w14:paraId="4EDC4E89" w14:textId="6D067C8E" w:rsidR="005438A0" w:rsidRDefault="00000000">
            <w:pPr>
              <w:pStyle w:val="TableParagraph"/>
              <w:ind w:left="109" w:right="139" w:firstLine="57"/>
              <w:rPr>
                <w:sz w:val="21"/>
              </w:rPr>
            </w:pPr>
            <w:r>
              <w:rPr>
                <w:color w:val="414145"/>
                <w:sz w:val="21"/>
              </w:rPr>
              <w:t>Turističk</w:t>
            </w:r>
            <w:r w:rsidR="00467CEC">
              <w:rPr>
                <w:color w:val="414145"/>
                <w:sz w:val="21"/>
              </w:rPr>
              <w:t>e</w:t>
            </w:r>
            <w:r>
              <w:rPr>
                <w:color w:val="414145"/>
                <w:sz w:val="21"/>
              </w:rPr>
              <w:t xml:space="preserve"> zajednic</w:t>
            </w:r>
            <w:r w:rsidR="00467CEC">
              <w:rPr>
                <w:color w:val="414145"/>
                <w:sz w:val="21"/>
              </w:rPr>
              <w:t xml:space="preserve">e Općina Preko, Kali, Kukljica i </w:t>
            </w:r>
            <w:proofErr w:type="spellStart"/>
            <w:r w:rsidR="00467CEC">
              <w:rPr>
                <w:color w:val="414145"/>
                <w:sz w:val="21"/>
              </w:rPr>
              <w:t>Tkon</w:t>
            </w:r>
            <w:proofErr w:type="spellEnd"/>
            <w:r w:rsidR="00FA182F">
              <w:rPr>
                <w:color w:val="414145"/>
                <w:sz w:val="21"/>
              </w:rPr>
              <w:t xml:space="preserve"> zajednički su pristupile izradi strateškog dokumenta</w:t>
            </w:r>
            <w:r>
              <w:rPr>
                <w:color w:val="414145"/>
                <w:sz w:val="21"/>
              </w:rPr>
              <w:t xml:space="preserve"> Plan upravljanja </w:t>
            </w:r>
            <w:r w:rsidR="00FA182F">
              <w:rPr>
                <w:color w:val="414145"/>
                <w:sz w:val="21"/>
              </w:rPr>
              <w:t>integriranom turističkom destinacijom sukladno</w:t>
            </w:r>
            <w:r>
              <w:rPr>
                <w:color w:val="414145"/>
                <w:sz w:val="21"/>
              </w:rPr>
              <w:t xml:space="preserve"> Zakon</w:t>
            </w:r>
            <w:r w:rsidR="00FA182F">
              <w:rPr>
                <w:color w:val="414145"/>
                <w:sz w:val="21"/>
              </w:rPr>
              <w:t>u</w:t>
            </w:r>
            <w:r>
              <w:rPr>
                <w:color w:val="414145"/>
                <w:sz w:val="21"/>
              </w:rPr>
              <w:t xml:space="preserve"> o turizmu (NN, br. 156/2023), Pravilnikom o metodologiji izrade plana upravljanja destinacijom (NN, br. 112/2024), Pravilnikom o pokazateljima za praćenje razvoja i održivosti turizma (NN, br. 112/2024) te Pravilnikom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o</w:t>
            </w:r>
            <w:r>
              <w:rPr>
                <w:color w:val="414145"/>
                <w:spacing w:val="-8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metodologiji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izračuna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prihvatnog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kapaciteta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(NN,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 xml:space="preserve">br. </w:t>
            </w:r>
            <w:r>
              <w:rPr>
                <w:color w:val="414145"/>
                <w:spacing w:val="-2"/>
                <w:sz w:val="21"/>
              </w:rPr>
              <w:t>112/2024).</w:t>
            </w:r>
            <w:r w:rsidR="00FA182F">
              <w:rPr>
                <w:color w:val="414145"/>
                <w:spacing w:val="-2"/>
                <w:sz w:val="21"/>
              </w:rPr>
              <w:t xml:space="preserve"> Strateški dokument za turističke zajednice izradio je projektni tim Sveučilišta u Zadru.</w:t>
            </w:r>
          </w:p>
          <w:p w14:paraId="74BDCC96" w14:textId="5DD60C8E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 xml:space="preserve">Plan upravljanja destinacijom predstavlja temeljni planski dokument za razvoj održive turističke destinacije. Njegova </w:t>
            </w:r>
            <w:r w:rsidR="00FA182F">
              <w:rPr>
                <w:color w:val="414145"/>
                <w:sz w:val="21"/>
              </w:rPr>
              <w:t xml:space="preserve">je </w:t>
            </w:r>
            <w:r>
              <w:rPr>
                <w:color w:val="414145"/>
                <w:sz w:val="21"/>
              </w:rPr>
              <w:t>primarna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svrha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usmjeriti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razvoj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turizma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skladu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načelima održivosti, uz istodobno usklađivanje s aktima strateškog planiranja, prostorno-planskom dokumentacijom, planovima upravljanja kulturnim dobrima te drugim važećim propisima i razvojnim dokumentima.</w:t>
            </w:r>
          </w:p>
          <w:p w14:paraId="305E8922" w14:textId="3D2F6565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>Plan se temelji na izračunu prihvatnog kapaciteta destinacije, izrađenom u skladu s propisanom metodologijom, čime se osigurava uravnotežen odnos između turističkih aktivnosti i očuvanja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prostora,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resursa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</w:t>
            </w:r>
            <w:r>
              <w:rPr>
                <w:color w:val="414145"/>
                <w:spacing w:val="-2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kvalitete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života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lokalnog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stanovništva. Ujedno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je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usklađen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</w:t>
            </w:r>
            <w:r w:rsidR="00FA182F">
              <w:rPr>
                <w:color w:val="414145"/>
                <w:spacing w:val="-5"/>
                <w:sz w:val="21"/>
              </w:rPr>
              <w:t xml:space="preserve">a </w:t>
            </w:r>
            <w:r>
              <w:rPr>
                <w:color w:val="414145"/>
                <w:sz w:val="21"/>
              </w:rPr>
              <w:t>strateškim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dokum</w:t>
            </w:r>
            <w:r w:rsidR="00FA182F">
              <w:rPr>
                <w:color w:val="414145"/>
                <w:sz w:val="21"/>
              </w:rPr>
              <w:t>entom Planom upravljanja turističkom destinacijom Zadarske županije.</w:t>
            </w:r>
          </w:p>
          <w:p w14:paraId="35BFB3E5" w14:textId="77777777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>Sukladno članku 25. Zakona o turizmu te članku 11. Zakona o pravu na pristup informacijama (NN, br. 25/13, 85/15 i 69/22), Prijedlog Plana upravljanja destinacijom i izračun prihvatnog kapaciteta upućuju se na javno savjetovanje. Objavom nacrta dokumenta,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uz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obrazloženje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ciljeva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razloga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njegova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donošenja, omogućuje se sudjelovanje zainteresirane javnosti u postupku donošenja ovog strateškog dokumenta.</w:t>
            </w:r>
          </w:p>
        </w:tc>
      </w:tr>
      <w:tr w:rsidR="005438A0" w14:paraId="32DA2493" w14:textId="77777777">
        <w:trPr>
          <w:trHeight w:val="2414"/>
        </w:trPr>
        <w:tc>
          <w:tcPr>
            <w:tcW w:w="2845" w:type="dxa"/>
          </w:tcPr>
          <w:p w14:paraId="420F5C28" w14:textId="77777777" w:rsidR="005438A0" w:rsidRDefault="005438A0">
            <w:pPr>
              <w:pStyle w:val="TableParagraph"/>
              <w:rPr>
                <w:rFonts w:ascii="Times New Roman"/>
                <w:sz w:val="20"/>
              </w:rPr>
            </w:pPr>
          </w:p>
          <w:p w14:paraId="624F4EA2" w14:textId="77777777" w:rsidR="005438A0" w:rsidRDefault="005438A0">
            <w:pPr>
              <w:pStyle w:val="TableParagraph"/>
              <w:rPr>
                <w:rFonts w:ascii="Times New Roman"/>
                <w:sz w:val="20"/>
              </w:rPr>
            </w:pPr>
          </w:p>
          <w:p w14:paraId="17889078" w14:textId="77777777" w:rsidR="005438A0" w:rsidRDefault="005438A0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6D1B097B" w14:textId="77777777" w:rsidR="005438A0" w:rsidRDefault="00000000">
            <w:pPr>
              <w:pStyle w:val="TableParagraph"/>
              <w:ind w:left="13" w:right="5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CILJEVI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PROVOĐENJA</w:t>
            </w:r>
          </w:p>
          <w:p w14:paraId="4147B53C" w14:textId="77777777" w:rsidR="005438A0" w:rsidRDefault="00000000">
            <w:pPr>
              <w:pStyle w:val="TableParagraph"/>
              <w:spacing w:before="37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SAVJETOVANJA</w:t>
            </w:r>
          </w:p>
        </w:tc>
        <w:tc>
          <w:tcPr>
            <w:tcW w:w="6448" w:type="dxa"/>
          </w:tcPr>
          <w:p w14:paraId="77009AE1" w14:textId="1B925DE0" w:rsidR="005438A0" w:rsidRDefault="00000000">
            <w:pPr>
              <w:pStyle w:val="TableParagraph"/>
              <w:ind w:left="109" w:right="97"/>
              <w:jc w:val="both"/>
              <w:rPr>
                <w:sz w:val="21"/>
              </w:rPr>
            </w:pPr>
            <w:r>
              <w:rPr>
                <w:color w:val="414145"/>
                <w:sz w:val="21"/>
              </w:rPr>
              <w:t>Izrada Plana upravljanja destinacijom predstavlja važan iskorak prema sustavnom i dugoročno održivom razvoju turizma. Dokument se temelji na analizi postojećeg stanja, definiranim pokazateljima održivosti i prihvatnog kapaciteta te jasno postavljenim razvojnim ciljevima i mjerama. Njegova provedba pridonijet će unapr</w:t>
            </w:r>
            <w:r w:rsidR="00517B1F">
              <w:rPr>
                <w:color w:val="414145"/>
                <w:sz w:val="21"/>
              </w:rPr>
              <w:t>j</w:t>
            </w:r>
            <w:r>
              <w:rPr>
                <w:color w:val="414145"/>
                <w:sz w:val="21"/>
              </w:rPr>
              <w:t>eđenju kvalitete turističke ponude, očuvanju prirodne i kulturne baštine te osiguravanju pozitivnih učinaka turizma na lokalnu zajednicu. Poseban naglasak stavlja se na razvoj cjelogodišnjeg turizma, diversifikaciju turističkih doživljaja te</w:t>
            </w:r>
          </w:p>
          <w:p w14:paraId="6D42B301" w14:textId="77777777" w:rsidR="005438A0" w:rsidRDefault="00000000">
            <w:pPr>
              <w:pStyle w:val="TableParagraph"/>
              <w:spacing w:line="221" w:lineRule="exact"/>
              <w:ind w:left="109"/>
              <w:jc w:val="both"/>
              <w:rPr>
                <w:sz w:val="21"/>
              </w:rPr>
            </w:pPr>
            <w:r>
              <w:rPr>
                <w:color w:val="414145"/>
                <w:sz w:val="21"/>
              </w:rPr>
              <w:t>jačanje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suradnje</w:t>
            </w:r>
            <w:r>
              <w:rPr>
                <w:color w:val="414145"/>
                <w:spacing w:val="-10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među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dionicima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pacing w:val="-2"/>
                <w:sz w:val="21"/>
              </w:rPr>
              <w:t>destinaciji.</w:t>
            </w:r>
          </w:p>
        </w:tc>
      </w:tr>
      <w:tr w:rsidR="005438A0" w14:paraId="679DCE7D" w14:textId="77777777">
        <w:trPr>
          <w:trHeight w:val="1257"/>
        </w:trPr>
        <w:tc>
          <w:tcPr>
            <w:tcW w:w="2845" w:type="dxa"/>
          </w:tcPr>
          <w:p w14:paraId="75B9F4F0" w14:textId="77777777" w:rsidR="005438A0" w:rsidRDefault="00000000">
            <w:pPr>
              <w:pStyle w:val="TableParagraph"/>
              <w:spacing w:before="114" w:line="276" w:lineRule="auto"/>
              <w:ind w:left="314" w:firstLine="13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ROK ZA PODNOŠENJE MIŠLJENJA,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PRIMJEDBI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</w:p>
          <w:p w14:paraId="79F69DB6" w14:textId="77777777" w:rsidR="005438A0" w:rsidRDefault="00000000">
            <w:pPr>
              <w:pStyle w:val="TableParagraph"/>
              <w:spacing w:before="2"/>
              <w:ind w:left="856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PRIJEDLOGA</w:t>
            </w:r>
          </w:p>
        </w:tc>
        <w:tc>
          <w:tcPr>
            <w:tcW w:w="6448" w:type="dxa"/>
          </w:tcPr>
          <w:p w14:paraId="050D3925" w14:textId="77777777" w:rsidR="005438A0" w:rsidRDefault="005438A0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5A08DCB2" w14:textId="77706FD5" w:rsidR="005438A0" w:rsidRDefault="00517B1F">
            <w:pPr>
              <w:pStyle w:val="TableParagraph"/>
              <w:ind w:left="109"/>
              <w:rPr>
                <w:rFonts w:ascii="Tahoma"/>
                <w:spacing w:val="-2"/>
                <w:sz w:val="20"/>
              </w:rPr>
            </w:pPr>
            <w:r>
              <w:rPr>
                <w:rFonts w:ascii="Tahoma"/>
                <w:sz w:val="20"/>
              </w:rPr>
              <w:t>Od 2</w:t>
            </w:r>
            <w:r w:rsidR="00E0782A">
              <w:rPr>
                <w:rFonts w:ascii="Tahoma"/>
                <w:sz w:val="20"/>
              </w:rPr>
              <w:t>3</w:t>
            </w:r>
            <w:r>
              <w:rPr>
                <w:rFonts w:ascii="Tahoma"/>
                <w:sz w:val="20"/>
              </w:rPr>
              <w:t>.</w:t>
            </w:r>
            <w:r w:rsidR="00467CEC">
              <w:rPr>
                <w:rFonts w:ascii="Tahoma"/>
                <w:sz w:val="20"/>
              </w:rPr>
              <w:t>6</w:t>
            </w:r>
            <w:r>
              <w:rPr>
                <w:rFonts w:ascii="Tahoma"/>
                <w:sz w:val="20"/>
              </w:rPr>
              <w:t>.2026.g.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do</w:t>
            </w:r>
            <w:r>
              <w:rPr>
                <w:rFonts w:ascii="Tahoma"/>
                <w:spacing w:val="-6"/>
                <w:sz w:val="20"/>
              </w:rPr>
              <w:t xml:space="preserve">  </w:t>
            </w:r>
            <w:r>
              <w:rPr>
                <w:rFonts w:ascii="Tahoma"/>
                <w:spacing w:val="-2"/>
                <w:sz w:val="20"/>
              </w:rPr>
              <w:t>2</w:t>
            </w:r>
            <w:r w:rsidR="00E0782A">
              <w:rPr>
                <w:rFonts w:ascii="Tahoma"/>
                <w:spacing w:val="-2"/>
                <w:sz w:val="20"/>
              </w:rPr>
              <w:t>3</w:t>
            </w:r>
            <w:r>
              <w:rPr>
                <w:rFonts w:ascii="Tahoma"/>
                <w:spacing w:val="-2"/>
                <w:sz w:val="20"/>
              </w:rPr>
              <w:t>.</w:t>
            </w:r>
            <w:r w:rsidR="00467CEC">
              <w:rPr>
                <w:rFonts w:ascii="Tahoma"/>
                <w:spacing w:val="-2"/>
                <w:sz w:val="20"/>
              </w:rPr>
              <w:t>7</w:t>
            </w:r>
            <w:r>
              <w:rPr>
                <w:rFonts w:ascii="Tahoma"/>
                <w:spacing w:val="-2"/>
                <w:sz w:val="20"/>
              </w:rPr>
              <w:t>.2026.g.</w:t>
            </w:r>
          </w:p>
          <w:p w14:paraId="6755F4D0" w14:textId="5A9E8914" w:rsidR="00AE12F7" w:rsidRDefault="00AE12F7">
            <w:pPr>
              <w:pStyle w:val="TableParagraph"/>
              <w:ind w:left="109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Plan upravljanja integriranom turisti</w:t>
            </w:r>
            <w:r>
              <w:rPr>
                <w:rFonts w:ascii="Tahoma"/>
                <w:spacing w:val="-2"/>
                <w:sz w:val="20"/>
              </w:rPr>
              <w:t>č</w:t>
            </w:r>
            <w:r>
              <w:rPr>
                <w:rFonts w:ascii="Tahoma"/>
                <w:spacing w:val="-2"/>
                <w:sz w:val="20"/>
              </w:rPr>
              <w:t xml:space="preserve">kom destinacijom objavljen je na </w:t>
            </w:r>
            <w:r w:rsidR="004A4CB6">
              <w:rPr>
                <w:rFonts w:ascii="Tahoma"/>
                <w:spacing w:val="-2"/>
                <w:sz w:val="20"/>
              </w:rPr>
              <w:t>mre</w:t>
            </w:r>
            <w:r w:rsidR="004A4CB6">
              <w:rPr>
                <w:rFonts w:ascii="Tahoma"/>
                <w:spacing w:val="-2"/>
                <w:sz w:val="20"/>
              </w:rPr>
              <w:t>ž</w:t>
            </w:r>
            <w:r w:rsidR="004A4CB6">
              <w:rPr>
                <w:rFonts w:ascii="Tahoma"/>
                <w:spacing w:val="-2"/>
                <w:sz w:val="20"/>
              </w:rPr>
              <w:t xml:space="preserve">noj </w:t>
            </w:r>
            <w:r>
              <w:rPr>
                <w:rFonts w:ascii="Tahoma"/>
                <w:spacing w:val="-2"/>
                <w:sz w:val="20"/>
              </w:rPr>
              <w:t>stranici Op</w:t>
            </w:r>
            <w:r w:rsidR="00265DCF">
              <w:rPr>
                <w:rFonts w:ascii="Tahoma"/>
                <w:spacing w:val="-2"/>
                <w:sz w:val="20"/>
              </w:rPr>
              <w:t>ć</w:t>
            </w:r>
            <w:r w:rsidR="00265DCF">
              <w:rPr>
                <w:rFonts w:ascii="Tahoma"/>
                <w:spacing w:val="-2"/>
                <w:sz w:val="20"/>
              </w:rPr>
              <w:t>ine Kali</w:t>
            </w:r>
            <w:r w:rsidR="00517B1F">
              <w:rPr>
                <w:rFonts w:ascii="Tahoma"/>
                <w:spacing w:val="-2"/>
                <w:sz w:val="20"/>
              </w:rPr>
              <w:t>.</w:t>
            </w:r>
          </w:p>
        </w:tc>
      </w:tr>
    </w:tbl>
    <w:p w14:paraId="2C078613" w14:textId="77777777" w:rsidR="005438A0" w:rsidRDefault="005438A0">
      <w:pPr>
        <w:pStyle w:val="TableParagraph"/>
        <w:rPr>
          <w:rFonts w:ascii="Tahoma"/>
          <w:sz w:val="20"/>
        </w:rPr>
        <w:sectPr w:rsidR="005438A0">
          <w:type w:val="continuous"/>
          <w:pgSz w:w="12240" w:h="15840"/>
          <w:pgMar w:top="1640" w:right="1440" w:bottom="1646" w:left="1440" w:header="720" w:footer="720" w:gutter="0"/>
          <w:cols w:space="720"/>
        </w:sectPr>
      </w:pPr>
    </w:p>
    <w:tbl>
      <w:tblPr>
        <w:tblStyle w:val="TableNormal1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448"/>
      </w:tblGrid>
      <w:tr w:rsidR="005438A0" w14:paraId="00947C72" w14:textId="77777777">
        <w:trPr>
          <w:trHeight w:val="1144"/>
        </w:trPr>
        <w:tc>
          <w:tcPr>
            <w:tcW w:w="2845" w:type="dxa"/>
          </w:tcPr>
          <w:p w14:paraId="37AF59A0" w14:textId="77777777" w:rsidR="005438A0" w:rsidRDefault="00000000">
            <w:pPr>
              <w:pStyle w:val="TableParagraph"/>
              <w:spacing w:before="59" w:line="276" w:lineRule="auto"/>
              <w:ind w:left="263" w:right="250" w:firstLine="4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ADRESA I NAČIN PODNOŠENJA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MIŠLJENJA, PRIMJEDBI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PRIJEDLOGA</w:t>
            </w:r>
          </w:p>
        </w:tc>
        <w:tc>
          <w:tcPr>
            <w:tcW w:w="6448" w:type="dxa"/>
          </w:tcPr>
          <w:p w14:paraId="5D0E16FB" w14:textId="686BCC11" w:rsidR="005438A0" w:rsidRDefault="00000000">
            <w:pPr>
              <w:pStyle w:val="TableParagraph"/>
              <w:spacing w:before="59" w:line="276" w:lineRule="auto"/>
              <w:ind w:left="109" w:right="96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sz w:val="20"/>
              </w:rPr>
              <w:t>Pisane primjedbe na</w:t>
            </w:r>
            <w:r>
              <w:rPr>
                <w:rFonts w:ascii="Tahoma" w:hAnsi="Tahoma"/>
                <w:spacing w:val="4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prijedlog Odluke dostavljaju se na zadanom obrascu (u prilogu) i to elektroničkom poštom na e-mail: </w:t>
            </w:r>
            <w:hyperlink r:id="rId4" w:history="1">
              <w:r w:rsidR="00265DCF" w:rsidRPr="007A4CE9">
                <w:rPr>
                  <w:rStyle w:val="Hiperveza"/>
                </w:rPr>
                <w:t>procelnica@opcina-kali.hr</w:t>
              </w:r>
            </w:hyperlink>
            <w:r w:rsidR="00265DCF">
              <w:t xml:space="preserve"> </w:t>
            </w:r>
          </w:p>
        </w:tc>
      </w:tr>
      <w:tr w:rsidR="005438A0" w14:paraId="777ECFC2" w14:textId="77777777">
        <w:trPr>
          <w:trHeight w:val="1312"/>
        </w:trPr>
        <w:tc>
          <w:tcPr>
            <w:tcW w:w="9293" w:type="dxa"/>
            <w:gridSpan w:val="2"/>
          </w:tcPr>
          <w:p w14:paraId="5B76CC0C" w14:textId="77777777" w:rsidR="005438A0" w:rsidRDefault="00000000">
            <w:pPr>
              <w:pStyle w:val="TableParagraph"/>
              <w:spacing w:before="1" w:line="276" w:lineRule="auto"/>
              <w:ind w:left="110" w:right="10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Sukladno odredbama članka 11. Zakona o pravu na pristup informacijama (Narodne novine, broj 25/13, 85/15, 69/22) po isteku roka za dostavu mišljenja i prijedloga nositelj izrade akta dužan je na internetskoj stranici objaviti izvješće o savjetovanju s javnošću, koje sadrži zaprimljene prijedloge i primjedbe te očitovanja s razlozima za neprihvaćanje pojedinih prijedloga i primjedbi.</w:t>
            </w:r>
          </w:p>
        </w:tc>
      </w:tr>
    </w:tbl>
    <w:p w14:paraId="56F54441" w14:textId="77777777" w:rsidR="00997106" w:rsidRDefault="00997106"/>
    <w:sectPr w:rsidR="00997106">
      <w:type w:val="continuous"/>
      <w:pgSz w:w="12240" w:h="15840"/>
      <w:pgMar w:top="11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A0"/>
    <w:rsid w:val="00074946"/>
    <w:rsid w:val="00146FE1"/>
    <w:rsid w:val="00265DCF"/>
    <w:rsid w:val="00293348"/>
    <w:rsid w:val="004605B2"/>
    <w:rsid w:val="00467CEC"/>
    <w:rsid w:val="004A4CB6"/>
    <w:rsid w:val="00517B1F"/>
    <w:rsid w:val="005438A0"/>
    <w:rsid w:val="00997106"/>
    <w:rsid w:val="00AE12F7"/>
    <w:rsid w:val="00BA0F5D"/>
    <w:rsid w:val="00E0782A"/>
    <w:rsid w:val="00E87830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37BE"/>
  <w15:docId w15:val="{2B94B3D8-CAFB-4FAF-84E8-190733EF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467CE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67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ca@opcina-kal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Korisnik</cp:lastModifiedBy>
  <cp:revision>2</cp:revision>
  <dcterms:created xsi:type="dcterms:W3CDTF">2026-06-23T08:23:00Z</dcterms:created>
  <dcterms:modified xsi:type="dcterms:W3CDTF">2026-06-23T08:23:00Z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za Microsoft 365</vt:lpwstr>
  </property>
</Properties>
</file>